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Training Module- Learning Journal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 Partnerships &amp; Completing the Self-Assessment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806640625" w:line="240" w:lineRule="auto"/>
        <w:ind w:left="1250.52709579467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Dear Early Education Educators,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2.65706062316895" w:lineRule="auto"/>
        <w:ind w:left="1235.5127716064453" w:right="1212.25219726562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Use this reflection journal to follow along with the 1-hour online training video. There are questions at  the end of each of the 2 sections of the video. To receive ECE-TRIS credit and a certificate for the course:  At the end of the 2 video sections, you will be prompted to type these answers into an online form.  Once submitted, you will receive a certificate you can print and submit along with other needed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3629652</wp:posOffset>
            </wp:positionH>
            <wp:positionV relativeFrom="paragraph">
              <wp:posOffset>661670</wp:posOffset>
            </wp:positionV>
            <wp:extent cx="2685415" cy="87376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873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81640625" w:line="240" w:lineRule="auto"/>
        <w:ind w:left="1242.3575401306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documentation for ECE-TRIS credit.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2724609375" w:line="240" w:lineRule="auto"/>
        <w:ind w:left="1233.525447845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Thank you and we hope you enjoy this module.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2724609375" w:line="240" w:lineRule="auto"/>
        <w:ind w:left="1233.525447845459" w:right="0" w:firstLine="0"/>
        <w:jc w:val="left"/>
        <w:rPr>
          <w:rFonts w:ascii="Calibri" w:cs="Calibri" w:eastAsia="Calibri" w:hAnsi="Calibri"/>
          <w:b w:val="1"/>
          <w:color w:val="1c458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1c4586"/>
          <w:rtl w:val="0"/>
        </w:rPr>
        <w:t xml:space="preserve">Learning Objectives (1 hour):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Explain the importance of building partnerships with community service agencies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Describe how centers can provide ongoing, updated information about community resources for families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Explain the role of early care and education centers in connecting families to community services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Describe the role of early care and education centers in collecting information on individual needs and </w:t>
      </w:r>
    </w:p>
    <w:p w:rsidR="00000000" w:rsidDel="00000000" w:rsidP="00000000" w:rsidRDefault="00000000" w:rsidRPr="00000000" w14:paraId="0000000D">
      <w:pPr>
        <w:ind w:left="1440" w:firstLine="72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aligning those needs with community resources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0" w:line="240" w:lineRule="auto"/>
        <w:ind w:left="720" w:firstLine="720"/>
        <w:rPr>
          <w:rFonts w:ascii="Calibri" w:cs="Calibri" w:eastAsia="Calibri" w:hAnsi="Calibri"/>
          <w:b w:val="1"/>
          <w:color w:val="1c4586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rtl w:val="0"/>
        </w:rPr>
        <w:t xml:space="preserve">Recommended reading and references: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line="240" w:lineRule="auto"/>
        <w:ind w:left="2160" w:hanging="360"/>
        <w:rPr>
          <w:rFonts w:ascii="Calibri" w:cs="Calibri" w:eastAsia="Calibri" w:hAnsi="Calibri"/>
          <w:color w:val="1c4586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KY Family and Early Education Partnership Self-Assessment (2022)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line="240" w:lineRule="auto"/>
        <w:ind w:left="2160" w:hanging="360"/>
        <w:rPr>
          <w:rFonts w:ascii="Calibri" w:cs="Calibri" w:eastAsia="Calibri" w:hAnsi="Calibri"/>
          <w:color w:val="1c4586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KY Family and Early Education Program Partnership Guide (2022)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0" w:before="0" w:line="240" w:lineRule="auto"/>
        <w:ind w:left="2160" w:hanging="360"/>
        <w:rPr>
          <w:rFonts w:ascii="Calibri" w:cs="Calibri" w:eastAsia="Calibri" w:hAnsi="Calibri"/>
          <w:color w:val="1c4586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Family Feedback Survey can be found in the KY Family and Early Education Partnership Playbook</w:t>
      </w: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1c4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968.4599876403809" w:right="0" w:firstLine="0"/>
        <w:jc w:val="left"/>
        <w:rPr>
          <w:rFonts w:ascii="Calibri" w:cs="Calibri" w:eastAsia="Calibri" w:hAnsi="Calibri"/>
          <w:b w:val="1"/>
          <w:color w:val="1c458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  <w:rtl w:val="0"/>
        </w:rPr>
        <w:t xml:space="preserve">Notes: Community Partnerships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 notes in this section in response to prompts in the video. Consider how your center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addresses each of the critical attributes. These notes will help you complete the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self-assessment later.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rPr>
          <w:rFonts w:ascii="Calibri" w:cs="Calibri" w:eastAsia="Calibri" w:hAnsi="Calibri"/>
          <w:i w:val="1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offer invite community service providers to connect with families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through family engagement events at least once per year? What organizations could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your center invite in the future?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maintain collaborative relationships with community service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organizations and make referrals for families on a needed basis throughout the year?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440" w:firstLine="72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partner with community service agencies to provide updated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information for families on an ongoing basis?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create space for family information? How might your center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maximize space to provide information to families on an ongoing basis throughout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the year?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send resources home around available community services?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distribute and collect family needs surveys at least twice per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year to gather specific multigenerational, community service needs?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intentionally embed community service information and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connections for families throughout the year?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invite community outreach providers to attend at least two family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engagement events per year?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Does your center invite community service agencies to attend family events that address the families’ educational, social, health, and community needs?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connect families to preventative service agencies to address 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social-emotional and physical wellness?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  <w:rtl w:val="0"/>
        </w:rPr>
        <w:t xml:space="preserve">Reflection Journal: </w:t>
      </w: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 xml:space="preserve">Community Partnerships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4040527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</w:rPr>
        <w:drawing>
          <wp:inline distB="114300" distT="114300" distL="114300" distR="114300">
            <wp:extent cx="7507604" cy="24765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7604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</w:rPr>
        <w:drawing>
          <wp:inline distB="114300" distT="114300" distL="114300" distR="114300">
            <wp:extent cx="7507604" cy="23876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7604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2799987792969" w:top="680" w:left="208.50000381469727" w:right="208.5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